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/>
        </w:rPr>
      </w:pPr>
      <w:r>
        <w:drawing>
          <wp:inline distT="0" distB="0" distL="0" distR="0">
            <wp:extent cx="1116330" cy="5969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27" cy="59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发表文献奖励申请表</w:t>
      </w:r>
    </w:p>
    <w:tbl>
      <w:tblPr>
        <w:tblStyle w:val="7"/>
        <w:tblW w:w="10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29"/>
        <w:gridCol w:w="2184"/>
        <w:gridCol w:w="2580"/>
        <w:gridCol w:w="1512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申请人信息</w:t>
            </w: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姓名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职称/年级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38" w:type="dxa"/>
            <w:gridSpan w:val="2"/>
            <w:vMerge w:val="restart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电话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E-mail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38" w:type="dxa"/>
            <w:gridSpan w:val="2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订购日期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单位及实验室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论文信息</w:t>
            </w: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论文标题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38" w:type="dxa"/>
            <w:gridSpan w:val="2"/>
            <w:vMerge w:val="restart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发表杂志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影响因子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38" w:type="dxa"/>
            <w:gridSpan w:val="2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第一作者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通讯作者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38" w:type="dxa"/>
            <w:gridSpan w:val="2"/>
            <w:vMerge w:val="continue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 w:val="15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文献PMID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引用信息</w:t>
            </w: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/>
                <w:color w:val="000000"/>
              </w:rPr>
              <w:t>名称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/>
                <w:color w:val="000000"/>
              </w:rPr>
              <w:t>货号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产品规格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研究领域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样本种属及组织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检测方法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38" w:type="dxa"/>
            <w:gridSpan w:val="2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2184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/>
                <w:color w:val="000000"/>
              </w:rPr>
              <w:t>的包装</w:t>
            </w:r>
          </w:p>
        </w:tc>
        <w:tc>
          <w:tcPr>
            <w:tcW w:w="258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  <w:tc>
          <w:tcPr>
            <w:tcW w:w="151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经销商</w:t>
            </w:r>
          </w:p>
        </w:tc>
        <w:tc>
          <w:tcPr>
            <w:tcW w:w="25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3722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对所使用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ELK Biotechnology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产品的评价及建议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3722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领奖方式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pStyle w:val="11"/>
              <w:numPr>
                <w:ilvl w:val="0"/>
                <w:numId w:val="1"/>
              </w:numPr>
              <w:autoSpaceDN w:val="0"/>
              <w:ind w:firstLineChars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电子卡号(需在下方备注发送到邮箱还是其他通讯方式)</w:t>
            </w:r>
          </w:p>
          <w:p>
            <w:pPr>
              <w:pStyle w:val="11"/>
              <w:numPr>
                <w:ilvl w:val="0"/>
                <w:numId w:val="1"/>
              </w:numPr>
              <w:autoSpaceDN w:val="0"/>
              <w:ind w:firstLineChars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邮寄实体卡到指定地址</w:t>
            </w:r>
          </w:p>
          <w:p>
            <w:pPr>
              <w:pStyle w:val="11"/>
              <w:numPr>
                <w:ilvl w:val="0"/>
                <w:numId w:val="1"/>
              </w:numPr>
              <w:autoSpaceDN w:val="0"/>
              <w:ind w:firstLineChars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由经销商发放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3722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邮寄地址及收件人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09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赠送说明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信息填写不全可能会影响奖励的发放。</w:t>
            </w:r>
          </w:p>
          <w:p>
            <w:pPr>
              <w:numPr>
                <w:ilvl w:val="0"/>
                <w:numId w:val="2"/>
              </w:num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文献中引用的产品如果为试用装，则不参与奖励活动。</w:t>
            </w:r>
          </w:p>
          <w:p>
            <w:pPr>
              <w:numPr>
                <w:ilvl w:val="0"/>
                <w:numId w:val="2"/>
              </w:num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本活动最终解释权归ELK Biotechnology所有，详情请登陆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www.</w:t>
            </w:r>
            <w:r>
              <w:rPr>
                <w:rFonts w:hint="eastAsia" w:ascii="微软雅黑" w:hAnsi="微软雅黑" w:eastAsia="微软雅黑"/>
                <w:color w:val="000000"/>
              </w:rPr>
              <w:t>elkbiotech.c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om</w:t>
            </w:r>
          </w:p>
          <w:p>
            <w:pPr>
              <w:numPr>
                <w:ilvl w:val="0"/>
                <w:numId w:val="2"/>
              </w:numPr>
              <w:autoSpaceDN w:val="0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经核对无误后， ELK Biotechnology将在10个工作日内发放奖励。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323" w:type="dxa"/>
            <w:gridSpan w:val="6"/>
            <w:vAlign w:val="center"/>
          </w:tcPr>
          <w:p>
            <w:pPr>
              <w:wordWrap w:val="0"/>
              <w:autoSpaceDN w:val="0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 xml:space="preserve"> 申请人署名：                                             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 xml:space="preserve"> 年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月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日</w:t>
            </w:r>
          </w:p>
        </w:tc>
      </w:tr>
    </w:tbl>
    <w:p>
      <w:pPr>
        <w:jc w:val="center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jc w:val="center"/>
      <w:rPr>
        <w:rFonts w:ascii="微软雅黑" w:hAnsi="微软雅黑" w:eastAsia="微软雅黑"/>
        <w:sz w:val="24"/>
        <w:szCs w:val="24"/>
      </w:rPr>
    </w:pPr>
    <w:r>
      <w:rPr>
        <w:rFonts w:hint="eastAsia" w:ascii="微软雅黑" w:hAnsi="微软雅黑" w:eastAsia="微软雅黑"/>
        <w:sz w:val="24"/>
        <w:szCs w:val="24"/>
      </w:rPr>
      <w:t>邮箱:</w:t>
    </w:r>
    <w:r>
      <w:rPr>
        <w:rFonts w:ascii="微软雅黑" w:hAnsi="微软雅黑" w:eastAsia="微软雅黑"/>
        <w:sz w:val="24"/>
        <w:szCs w:val="24"/>
      </w:rPr>
      <w:t xml:space="preserve"> ELKbio@ELKbiotech.com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FBC1CE4"/>
    <w:multiLevelType w:val="multilevel"/>
    <w:tmpl w:val="1FBC1C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5B"/>
    <w:rsid w:val="00240709"/>
    <w:rsid w:val="00293EF7"/>
    <w:rsid w:val="00547403"/>
    <w:rsid w:val="00685F57"/>
    <w:rsid w:val="00A0486B"/>
    <w:rsid w:val="00B51B5B"/>
    <w:rsid w:val="0C945505"/>
    <w:rsid w:val="5557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2018-03-13T08:57:00Z</dcterms:created>
  <dc:creator>Alan PereZ</dc:creator>
  <cp:lastModifiedBy>小罗</cp:lastModifiedBy>
  <dcterms:modified xsi:type="dcterms:W3CDTF">2019-07-15T06:43:38Z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